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D3EA8">
      <w:pPr>
        <w:widowControl/>
        <w:jc w:val="left"/>
        <w:rPr>
          <w:sz w:val="36"/>
          <w:szCs w:val="36"/>
        </w:rPr>
      </w:pPr>
      <w:r>
        <w:rPr>
          <w:rFonts w:ascii="华文中宋" w:hAnsi="华文中宋" w:eastAsia="华文中宋"/>
          <w:sz w:val="30"/>
          <w:szCs w:val="30"/>
        </w:rPr>
        <w:t>附表</w:t>
      </w:r>
      <w:r>
        <w:rPr>
          <w:rFonts w:hint="eastAsia" w:ascii="华文中宋" w:hAnsi="华文中宋" w:eastAsia="华文中宋"/>
          <w:sz w:val="30"/>
          <w:szCs w:val="30"/>
        </w:rPr>
        <w:t>1</w:t>
      </w:r>
      <w:r>
        <w:rPr>
          <w:rFonts w:ascii="华文中宋" w:hAnsi="华文中宋" w:eastAsia="华文中宋"/>
          <w:sz w:val="30"/>
          <w:szCs w:val="30"/>
        </w:rPr>
        <w:t>：</w:t>
      </w:r>
      <w:r>
        <w:rPr>
          <w:rFonts w:hint="eastAsia" w:ascii="华文中宋" w:hAnsi="华文中宋" w:eastAsia="华文中宋"/>
          <w:b/>
          <w:sz w:val="30"/>
          <w:szCs w:val="30"/>
        </w:rPr>
        <w:t xml:space="preserve">           </w:t>
      </w:r>
      <w:r>
        <w:rPr>
          <w:rFonts w:hint="eastAsia" w:ascii="华文中宋" w:hAnsi="华文中宋" w:eastAsia="华文中宋"/>
          <w:b/>
          <w:sz w:val="30"/>
          <w:szCs w:val="30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永煤集团总</w:t>
      </w:r>
      <w:r>
        <w:rPr>
          <w:rFonts w:hint="eastAsia" w:ascii="华文中宋" w:hAnsi="华文中宋" w:eastAsia="华文中宋"/>
          <w:b/>
          <w:sz w:val="36"/>
          <w:szCs w:val="36"/>
        </w:rPr>
        <w:t>医院</w:t>
      </w:r>
    </w:p>
    <w:p w14:paraId="0C0F9EE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40"/>
          <w:szCs w:val="44"/>
        </w:rPr>
        <w:t xml:space="preserve"> </w:t>
      </w:r>
      <w:r>
        <w:rPr>
          <w:rFonts w:ascii="华文中宋" w:hAnsi="华文中宋" w:eastAsia="华文中宋"/>
          <w:b/>
          <w:sz w:val="40"/>
          <w:szCs w:val="44"/>
        </w:rPr>
        <w:t xml:space="preserve">   </w:t>
      </w:r>
      <w:r>
        <w:rPr>
          <w:rFonts w:hint="eastAsia" w:ascii="华文中宋" w:hAnsi="华文中宋" w:eastAsia="华文中宋"/>
          <w:b/>
          <w:sz w:val="40"/>
          <w:szCs w:val="44"/>
        </w:rPr>
        <w:t>医疗设备</w:t>
      </w:r>
      <w:r>
        <w:rPr>
          <w:rFonts w:ascii="华文中宋" w:hAnsi="华文中宋" w:eastAsia="华文中宋"/>
          <w:b/>
          <w:sz w:val="40"/>
          <w:szCs w:val="44"/>
        </w:rPr>
        <w:t>技术参数</w:t>
      </w:r>
      <w:r>
        <w:rPr>
          <w:rFonts w:hint="eastAsia" w:ascii="宋体" w:hAnsi="宋体"/>
          <w:b/>
          <w:sz w:val="28"/>
          <w:szCs w:val="28"/>
        </w:rPr>
        <w:t xml:space="preserve">  </w:t>
      </w:r>
    </w:p>
    <w:tbl>
      <w:tblPr>
        <w:tblStyle w:val="4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50"/>
        <w:gridCol w:w="3988"/>
        <w:gridCol w:w="1086"/>
        <w:gridCol w:w="3025"/>
      </w:tblGrid>
      <w:tr w14:paraId="22606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693" w:type="dxa"/>
            <w:gridSpan w:val="2"/>
            <w:vAlign w:val="center"/>
          </w:tcPr>
          <w:p w14:paraId="686851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988" w:type="dxa"/>
          </w:tcPr>
          <w:p w14:paraId="4724BF51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眼前节分析系统（干眼专用）</w:t>
            </w:r>
          </w:p>
        </w:tc>
        <w:tc>
          <w:tcPr>
            <w:tcW w:w="1086" w:type="dxa"/>
          </w:tcPr>
          <w:p w14:paraId="328B47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3025" w:type="dxa"/>
          </w:tcPr>
          <w:p w14:paraId="460C724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14:paraId="1C6FF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93" w:type="dxa"/>
            <w:gridSpan w:val="2"/>
            <w:vAlign w:val="center"/>
          </w:tcPr>
          <w:p w14:paraId="4CDA3C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设备用途</w:t>
            </w:r>
          </w:p>
        </w:tc>
        <w:tc>
          <w:tcPr>
            <w:tcW w:w="8099" w:type="dxa"/>
            <w:gridSpan w:val="3"/>
          </w:tcPr>
          <w:p w14:paraId="2370EF9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可用于眼表疾病、干眼并发症及干眼全部检查项目，解决了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传统检查手段无法全面、客观检查。</w:t>
            </w:r>
          </w:p>
        </w:tc>
      </w:tr>
      <w:tr w14:paraId="6945E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restart"/>
            <w:vAlign w:val="center"/>
          </w:tcPr>
          <w:p w14:paraId="74749569">
            <w:pPr>
              <w:jc w:val="center"/>
              <w:rPr>
                <w:sz w:val="24"/>
                <w:szCs w:val="24"/>
              </w:rPr>
            </w:pPr>
          </w:p>
          <w:p w14:paraId="636EF595">
            <w:pPr>
              <w:jc w:val="center"/>
              <w:rPr>
                <w:sz w:val="24"/>
                <w:szCs w:val="24"/>
              </w:rPr>
            </w:pPr>
          </w:p>
          <w:p w14:paraId="4214D24C">
            <w:pPr>
              <w:jc w:val="center"/>
              <w:rPr>
                <w:sz w:val="24"/>
                <w:szCs w:val="24"/>
              </w:rPr>
            </w:pPr>
          </w:p>
          <w:p w14:paraId="785B864F">
            <w:pPr>
              <w:jc w:val="center"/>
              <w:rPr>
                <w:sz w:val="24"/>
                <w:szCs w:val="24"/>
              </w:rPr>
            </w:pPr>
          </w:p>
          <w:p w14:paraId="02DBFE3D">
            <w:pPr>
              <w:jc w:val="center"/>
              <w:rPr>
                <w:sz w:val="24"/>
                <w:szCs w:val="24"/>
              </w:rPr>
            </w:pPr>
          </w:p>
          <w:p w14:paraId="02E8C68C">
            <w:pPr>
              <w:jc w:val="center"/>
              <w:rPr>
                <w:sz w:val="24"/>
                <w:szCs w:val="24"/>
              </w:rPr>
            </w:pPr>
          </w:p>
          <w:p w14:paraId="3633D4D9">
            <w:pPr>
              <w:jc w:val="center"/>
              <w:rPr>
                <w:sz w:val="24"/>
                <w:szCs w:val="24"/>
              </w:rPr>
            </w:pPr>
          </w:p>
          <w:p w14:paraId="42DDF1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技</w:t>
            </w:r>
          </w:p>
          <w:p w14:paraId="0A718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术</w:t>
            </w:r>
          </w:p>
          <w:p w14:paraId="246BA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</w:t>
            </w:r>
          </w:p>
          <w:p w14:paraId="0B6C6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</w:t>
            </w:r>
          </w:p>
        </w:tc>
        <w:tc>
          <w:tcPr>
            <w:tcW w:w="850" w:type="dxa"/>
            <w:vAlign w:val="center"/>
          </w:tcPr>
          <w:p w14:paraId="7F2F2F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099" w:type="dxa"/>
            <w:gridSpan w:val="3"/>
          </w:tcPr>
          <w:p w14:paraId="15619C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</w:t>
            </w:r>
            <w:r>
              <w:rPr>
                <w:sz w:val="24"/>
                <w:szCs w:val="24"/>
              </w:rPr>
              <w:t>参数</w:t>
            </w:r>
          </w:p>
        </w:tc>
      </w:tr>
      <w:tr w14:paraId="234F7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continue"/>
            <w:vAlign w:val="center"/>
          </w:tcPr>
          <w:p w14:paraId="4A827F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3001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99" w:type="dxa"/>
            <w:gridSpan w:val="3"/>
          </w:tcPr>
          <w:p w14:paraId="39CCA7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光     源：白色光；红外光；钴蓝光</w:t>
            </w:r>
          </w:p>
        </w:tc>
      </w:tr>
      <w:tr w14:paraId="153A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525C7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E4E3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99" w:type="dxa"/>
            <w:gridSpan w:val="3"/>
          </w:tcPr>
          <w:p w14:paraId="3682BF2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显微镜类型：平行夹角式（伽利略型）</w:t>
            </w:r>
          </w:p>
        </w:tc>
      </w:tr>
      <w:tr w14:paraId="22C4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21D87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DCF2D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99" w:type="dxa"/>
            <w:gridSpan w:val="3"/>
          </w:tcPr>
          <w:p w14:paraId="6F364CDF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显微镜总倍率：6X  10×；16×；25×；40×</w:t>
            </w:r>
          </w:p>
        </w:tc>
      </w:tr>
      <w:tr w14:paraId="113D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A9EC8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1E0C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099" w:type="dxa"/>
            <w:gridSpan w:val="3"/>
          </w:tcPr>
          <w:p w14:paraId="5E7AA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屈光度调节： -7D～+7D</w:t>
            </w:r>
          </w:p>
        </w:tc>
      </w:tr>
      <w:tr w14:paraId="2122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68BF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937AB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099" w:type="dxa"/>
            <w:gridSpan w:val="3"/>
            <w:vAlign w:val="top"/>
          </w:tcPr>
          <w:p w14:paraId="723F2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▲干眼装置与设备主体一体设计，在所有干眼检测项目中不需要更换部件，不需分拆；</w:t>
            </w:r>
          </w:p>
        </w:tc>
      </w:tr>
      <w:tr w14:paraId="0CE96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10DC2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8585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8099" w:type="dxa"/>
            <w:gridSpan w:val="3"/>
            <w:vAlign w:val="top"/>
          </w:tcPr>
          <w:p w14:paraId="1BC43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采集器：高清单反相机,图像分辨率：≥24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0万像素</w:t>
            </w:r>
          </w:p>
        </w:tc>
      </w:tr>
      <w:tr w14:paraId="55A3C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CA479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1515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8099" w:type="dxa"/>
            <w:gridSpan w:val="3"/>
            <w:vAlign w:val="top"/>
          </w:tcPr>
          <w:p w14:paraId="2A27A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▲螨虫检查功能，可实现高清数码裂隙灯+干眼检查+螨虫检查三合一功能</w:t>
            </w:r>
          </w:p>
        </w:tc>
      </w:tr>
      <w:tr w14:paraId="100D9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7B6DC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DF5D5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8099" w:type="dxa"/>
            <w:gridSpan w:val="3"/>
            <w:vAlign w:val="top"/>
          </w:tcPr>
          <w:p w14:paraId="636B5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软件：干眼七项检查，干眼类型划分及病因分析，以及干眼严重程度划分，引导干眼个性化治疗</w:t>
            </w:r>
          </w:p>
        </w:tc>
      </w:tr>
      <w:tr w14:paraId="0A17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F2B40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6FA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8099" w:type="dxa"/>
            <w:gridSpan w:val="3"/>
            <w:vAlign w:val="top"/>
          </w:tcPr>
          <w:p w14:paraId="7920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▲泪河高度测量：可见光/红外光双模式拍照，可光学变倍拍照，非侵入式泪河高度测量，客观评估泪液分泌量</w:t>
            </w:r>
          </w:p>
        </w:tc>
      </w:tr>
      <w:tr w14:paraId="382BF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27B25F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96BF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8099" w:type="dxa"/>
            <w:gridSpan w:val="3"/>
            <w:vAlign w:val="top"/>
          </w:tcPr>
          <w:p w14:paraId="64B07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▲泪膜破裂时间：可见光/红外光双模式录像，计算首次、平均破裂时间、测量时长：≥15-25秒</w:t>
            </w:r>
          </w:p>
        </w:tc>
      </w:tr>
      <w:tr w14:paraId="1C4A4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77B7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71DA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8099" w:type="dxa"/>
            <w:gridSpan w:val="3"/>
            <w:vAlign w:val="top"/>
          </w:tcPr>
          <w:p w14:paraId="68F44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脂质层等级评估：多等级模板对比，观察脂质层色彩、分部均匀度及流动性，标注脂质层厚度范围</w:t>
            </w:r>
          </w:p>
        </w:tc>
      </w:tr>
      <w:tr w14:paraId="750D1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BACC0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F7CDC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8099" w:type="dxa"/>
            <w:gridSpan w:val="3"/>
            <w:vAlign w:val="top"/>
          </w:tcPr>
          <w:p w14:paraId="249AB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睑板腺缺失量化分析：红外光拍照，自动计算睑板腺缺失百分比，量化评分等级，可光学变倍拍照</w:t>
            </w:r>
          </w:p>
        </w:tc>
      </w:tr>
      <w:tr w14:paraId="5429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C4C2F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45F1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8099" w:type="dxa"/>
            <w:gridSpan w:val="3"/>
            <w:vAlign w:val="top"/>
          </w:tcPr>
          <w:p w14:paraId="33B33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睑缘观察：可光学变倍拍照，图像尺寸：≥5184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3455</w:t>
            </w:r>
          </w:p>
        </w:tc>
      </w:tr>
      <w:tr w14:paraId="0A16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275EC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9D9F9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8099" w:type="dxa"/>
            <w:gridSpan w:val="3"/>
            <w:vAlign w:val="top"/>
          </w:tcPr>
          <w:p w14:paraId="5E7F7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眼红分析：自动评估睫状、结膜充血程度，眼红国际标准分级</w:t>
            </w:r>
          </w:p>
        </w:tc>
      </w:tr>
      <w:tr w14:paraId="27A02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11EA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C3BD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8099" w:type="dxa"/>
            <w:gridSpan w:val="3"/>
            <w:vAlign w:val="top"/>
          </w:tcPr>
          <w:p w14:paraId="6D666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角膜染色观察：荧光素钠染色，具备拍照和录像两种模式</w:t>
            </w:r>
          </w:p>
        </w:tc>
      </w:tr>
      <w:tr w14:paraId="774A2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07FB8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BCA07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8099" w:type="dxa"/>
            <w:gridSpan w:val="3"/>
            <w:vAlign w:val="top"/>
          </w:tcPr>
          <w:p w14:paraId="27333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干眼并发症检查：无需更换设备，即可进行干眼并发症检查</w:t>
            </w:r>
          </w:p>
        </w:tc>
      </w:tr>
      <w:tr w14:paraId="5F69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FDB1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D613F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8099" w:type="dxa"/>
            <w:gridSpan w:val="3"/>
            <w:vAlign w:val="top"/>
          </w:tcPr>
          <w:p w14:paraId="01613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眼前节检查：五种光学变倍拍摄，能够进行角膜横经、瞳孔直径以及角膜、晶体、玻璃体等项目检查</w:t>
            </w:r>
          </w:p>
        </w:tc>
      </w:tr>
      <w:tr w14:paraId="6E16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5F488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FCB2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8099" w:type="dxa"/>
            <w:gridSpan w:val="3"/>
            <w:vAlign w:val="top"/>
          </w:tcPr>
          <w:p w14:paraId="69246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检查报告单：干眼七项检查项目，自动出报告，</w:t>
            </w:r>
          </w:p>
        </w:tc>
      </w:tr>
      <w:tr w14:paraId="4FA3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2397F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F56B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8099" w:type="dxa"/>
            <w:gridSpan w:val="3"/>
            <w:vAlign w:val="top"/>
          </w:tcPr>
          <w:p w14:paraId="6CFCC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▲干眼治疗进展管理系统：干眼检查曲线进展图，实时跟进干眼治疗进展，方便临床医生实时跟踪治疗进展</w:t>
            </w:r>
          </w:p>
        </w:tc>
      </w:tr>
      <w:tr w14:paraId="47FD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EC1A7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6B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8099" w:type="dxa"/>
            <w:gridSpan w:val="3"/>
            <w:vAlign w:val="top"/>
          </w:tcPr>
          <w:p w14:paraId="0C408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网络化接口：带Dicom3.0接口，支持接入医院HISS或PASS系统，支持网络化医疗及远程会诊。</w:t>
            </w:r>
          </w:p>
        </w:tc>
      </w:tr>
    </w:tbl>
    <w:p w14:paraId="60CD9D9F">
      <w:pPr>
        <w:rPr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1276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0220C"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- 15 -</w:t>
    </w:r>
    <w:r>
      <w:rPr>
        <w:rFonts w:ascii="宋体" w:hAnsi="宋体"/>
        <w:sz w:val="28"/>
        <w:szCs w:val="28"/>
      </w:rPr>
      <w:fldChar w:fldCharType="end"/>
    </w:r>
  </w:p>
  <w:p w14:paraId="6185B3C7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86E53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7256539E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ZDM4YWFkYThjMDRmNjY1NDBiN2U1NDA4OGYwZWYifQ=="/>
  </w:docVars>
  <w:rsids>
    <w:rsidRoot w:val="00735ABD"/>
    <w:rsid w:val="000B6BC3"/>
    <w:rsid w:val="00533211"/>
    <w:rsid w:val="00735ABD"/>
    <w:rsid w:val="00FA7D5E"/>
    <w:rsid w:val="0B651A91"/>
    <w:rsid w:val="122F22A3"/>
    <w:rsid w:val="169E79F7"/>
    <w:rsid w:val="1AB53561"/>
    <w:rsid w:val="1BE747D4"/>
    <w:rsid w:val="1D484FE5"/>
    <w:rsid w:val="1F8452B0"/>
    <w:rsid w:val="2A637968"/>
    <w:rsid w:val="3EFD36E5"/>
    <w:rsid w:val="41807B75"/>
    <w:rsid w:val="457F23F7"/>
    <w:rsid w:val="458562BC"/>
    <w:rsid w:val="5BD668B8"/>
    <w:rsid w:val="67ED14E8"/>
    <w:rsid w:val="6D184EE1"/>
    <w:rsid w:val="74A63820"/>
    <w:rsid w:val="7800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736</Words>
  <Characters>786</Characters>
  <Lines>14</Lines>
  <Paragraphs>4</Paragraphs>
  <TotalTime>0</TotalTime>
  <ScaleCrop>false</ScaleCrop>
  <LinksUpToDate>false</LinksUpToDate>
  <CharactersWithSpaces>811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2024-03-25T03:21:00Z</dcterms:created>
  <dc:creator>xin</dc:creator>
  <cp:lastModifiedBy>Administrator</cp:lastModifiedBy>
  <dcterms:modified xsi:type="dcterms:W3CDTF">2024-07-24T02:23:03Z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EFFD8CF1ED8B43E5A3866C2F2BC9C681_13</vt:lpwstr>
  </property>
</Properties>
</file>